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16" w:name="Xd8fb1dacda199cc44384b43df1d96bb407bb668"/>
    <w:p>
      <w:pPr>
        <w:pStyle w:val="Heading2"/>
      </w:pPr>
      <w:r>
        <w:t xml:space="preserve">Nota Interna – Planeamento Estratégico do Caso</w:t>
      </w:r>
    </w:p>
    <w:p>
      <w:pPr>
        <w:pStyle w:val="FirstParagraph"/>
      </w:pPr>
      <w:r>
        <w:rPr>
          <w:b/>
          <w:bCs/>
        </w:rPr>
        <w:t xml:space="preserve">Processo n.º 1234/2026 – Despedimento por Justa Causa – Uso Indevido de Email Corporativo</w:t>
      </w:r>
      <w:r>
        <w:br/>
      </w:r>
      <w:r>
        <w:rPr>
          <w:b/>
          <w:bCs/>
        </w:rPr>
        <w:t xml:space="preserve">Autor:</w:t>
      </w:r>
      <w:r>
        <w:t xml:space="preserve"> </w:t>
      </w:r>
      <w:r>
        <w:t xml:space="preserve">José Manuel da Silva</w:t>
      </w:r>
      <w:r>
        <w:br/>
      </w:r>
      <w:r>
        <w:rPr>
          <w:b/>
          <w:bCs/>
        </w:rPr>
        <w:t xml:space="preserve">Réu:</w:t>
      </w:r>
      <w:r>
        <w:t xml:space="preserve"> </w:t>
      </w:r>
      <w:r>
        <w:t xml:space="preserve">Empresa XYZ, Lda.</w:t>
      </w:r>
      <w:r>
        <w:br/>
      </w:r>
      <w:r>
        <w:rPr>
          <w:b/>
          <w:bCs/>
        </w:rPr>
        <w:t xml:space="preserve">Mandatários:</w:t>
      </w:r>
      <w:r>
        <w:t xml:space="preserve"> </w:t>
      </w:r>
      <w:r>
        <w:t xml:space="preserve">Dr. António Ribeiro (OA 12345) – Advogado; Dra. Sofia Carvalho (OA 67890) – Advogada</w:t>
      </w:r>
      <w:r>
        <w:br/>
      </w:r>
      <w:r>
        <w:rPr>
          <w:b/>
          <w:bCs/>
        </w:rPr>
        <w:t xml:space="preserve">Juíza:</w:t>
      </w:r>
      <w:r>
        <w:t xml:space="preserve"> </w:t>
      </w:r>
      <w:r>
        <w:t xml:space="preserve">Dr.ª Maria de Lurdes Santos</w:t>
      </w:r>
    </w:p>
    <w:p>
      <w:pPr>
        <w:pStyle w:val="BodyText"/>
      </w:pPr>
      <w:r>
        <w:rPr>
          <w:b/>
          <w:bCs/>
        </w:rPr>
        <w:t xml:space="preserve">Lisboa, 22 de fevereiro de 2026</w:t>
      </w:r>
    </w:p>
    <w:p>
      <w:r>
        <w:pict>
          <v:rect style="width:0;height:1.5pt" o:hralign="center" o:hrstd="t" o:hr="t"/>
        </w:pict>
      </w:r>
    </w:p>
    <w:bookmarkStart w:id="9" w:name="objetivo-da-nota"/>
    <w:p>
      <w:pPr>
        <w:pStyle w:val="Heading3"/>
      </w:pPr>
      <w:r>
        <w:t xml:space="preserve">1. Objetivo da Nota</w:t>
      </w:r>
    </w:p>
    <w:p>
      <w:pPr>
        <w:pStyle w:val="FirstParagraph"/>
      </w:pPr>
      <w:r>
        <w:t xml:space="preserve">Esta nota tem por finalidade definir a</w:t>
      </w:r>
      <w:r>
        <w:t xml:space="preserve"> </w:t>
      </w:r>
      <w:r>
        <w:rPr>
          <w:b/>
          <w:bCs/>
        </w:rPr>
        <w:t xml:space="preserve">estratégia jurídica</w:t>
      </w:r>
      <w:r>
        <w:t xml:space="preserve"> </w:t>
      </w:r>
      <w:r>
        <w:t xml:space="preserve">a ser adotada no processo acima indicado, estabelecer o</w:t>
      </w:r>
      <w:r>
        <w:t xml:space="preserve"> </w:t>
      </w:r>
      <w:r>
        <w:rPr>
          <w:b/>
          <w:bCs/>
        </w:rPr>
        <w:t xml:space="preserve">cronograma de atos processuais</w:t>
      </w:r>
      <w:r>
        <w:t xml:space="preserve"> </w:t>
      </w:r>
      <w:r>
        <w:t xml:space="preserve">até à sentença e distribuir as</w:t>
      </w:r>
      <w:r>
        <w:t xml:space="preserve"> </w:t>
      </w:r>
      <w:r>
        <w:rPr>
          <w:b/>
          <w:bCs/>
        </w:rPr>
        <w:t xml:space="preserve">tarefas</w:t>
      </w:r>
      <w:r>
        <w:t xml:space="preserve"> </w:t>
      </w:r>
      <w:r>
        <w:t xml:space="preserve">entre os membros da equipa, de modo a garantir a máxima eficácia na defesa dos interesses do Sr. José Manuel da Silva.</w:t>
      </w:r>
    </w:p>
    <w:p>
      <w:r>
        <w:pict>
          <v:rect style="width:0;height:1.5pt" o:hralign="center" o:hrstd="t" o:hr="t"/>
        </w:pict>
      </w:r>
    </w:p>
    <w:bookmarkEnd w:id="9"/>
    <w:bookmarkStart w:id="10" w:name="síntese-das-teses-contenciosas"/>
    <w:p>
      <w:pPr>
        <w:pStyle w:val="Heading3"/>
      </w:pPr>
      <w:r>
        <w:t xml:space="preserve">2. Síntese das Teses Contenciosas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678"/>
        <w:gridCol w:w="1357"/>
        <w:gridCol w:w="5883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Nº</w:t>
            </w:r>
          </w:p>
        </w:tc>
        <w:tc>
          <w:tcPr/>
          <w:p>
            <w:pPr>
              <w:pStyle w:val="Compact"/>
            </w:pPr>
            <w:r>
              <w:t xml:space="preserve">Tese</w:t>
            </w:r>
          </w:p>
        </w:tc>
        <w:tc>
          <w:tcPr/>
          <w:p>
            <w:pPr>
              <w:pStyle w:val="Compact"/>
            </w:pPr>
            <w:r>
              <w:t xml:space="preserve">Fundamentação Pretendida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Inexistência de Justa Causa</w:t>
            </w:r>
            <w:r>
              <w:t xml:space="preserve"> </w:t>
            </w:r>
            <w:r>
              <w:t xml:space="preserve">– O uso do correio eletrónico corporativo não constitui violação grave do dever de lealdade.</w:t>
            </w:r>
          </w:p>
        </w:tc>
        <w:tc>
          <w:tcPr/>
          <w:p>
            <w:pPr>
              <w:pStyle w:val="Compact"/>
            </w:pPr>
            <w:r>
              <w:t xml:space="preserve">- Jurisprudência do Tribunal Supremo (Acórdão 145/21.5T8LSB) – “A mera utilização de conta institucional para fins pessoais, sem dano concreto ao empregador, não pode, a si só, justificar a cessação do contrato”.</w:t>
            </w:r>
            <w:r>
              <w:t xml:space="preserve">- Análise do conteúdo das mensagens (anexo A) – ausência de informação confidencial ou de concorrência desleal.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2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Desproporcionalidade da Sanção</w:t>
            </w:r>
            <w:r>
              <w:t xml:space="preserve"> </w:t>
            </w:r>
            <w:r>
              <w:t xml:space="preserve">– A despedida por justa causa é medida extrema, incompatível com a antiguidade de 12 anos e com a conduta do reclamante.</w:t>
            </w:r>
          </w:p>
        </w:tc>
        <w:tc>
          <w:tcPr/>
          <w:p>
            <w:pPr>
              <w:pStyle w:val="Compact"/>
            </w:pPr>
            <w:r>
              <w:t xml:space="preserve">- Princípio da proporcionalidade (art. 351.º, CPC).</w:t>
            </w:r>
            <w:r>
              <w:t xml:space="preserve">- Precedentes do Tribunal da Relação de Lisboa (Processo 9876/20.5T8LSB) – sanções disciplinares graduadas são preferíveis.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3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Violação dos Requisitos Formais de Comunicação</w:t>
            </w:r>
            <w:r>
              <w:t xml:space="preserve"> </w:t>
            </w:r>
            <w:r>
              <w:t xml:space="preserve">– A empresa não cumpriu o dever de notificação prévia e de explicitação dos factos que fundamentam a decisão.</w:t>
            </w:r>
          </w:p>
        </w:tc>
        <w:tc>
          <w:tcPr/>
          <w:p>
            <w:pPr>
              <w:pStyle w:val="Compact"/>
            </w:pPr>
            <w:r>
              <w:t xml:space="preserve">- Art. 351.º, n.º 1, alínea b) do Código do Trabalho.</w:t>
            </w:r>
            <w:r>
              <w:t xml:space="preserve">- Falta de entrega de carta de despedimento com assinatura reconhecida (documento inexistente nos autos).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10"/>
    <w:bookmarkStart w:id="11" w:name="estratégia-jurídica"/>
    <w:p>
      <w:pPr>
        <w:pStyle w:val="Heading3"/>
      </w:pPr>
      <w:r>
        <w:t xml:space="preserve">3. Estratégia Jurídica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Produção de Provas Documentais</w:t>
      </w:r>
    </w:p>
    <w:p>
      <w:pPr>
        <w:pStyle w:val="Compact"/>
        <w:numPr>
          <w:ilvl w:val="1"/>
          <w:numId w:val="1002"/>
        </w:numPr>
      </w:pPr>
      <w:r>
        <w:t xml:space="preserve">Solicitar ao réu a entrega de todos os registos de acesso ao email corporativo (logs de IP, horários).</w:t>
      </w:r>
      <w:r>
        <w:br/>
      </w:r>
    </w:p>
    <w:p>
      <w:pPr>
        <w:pStyle w:val="Compact"/>
        <w:numPr>
          <w:ilvl w:val="1"/>
          <w:numId w:val="1002"/>
        </w:numPr>
      </w:pPr>
      <w:r>
        <w:t xml:space="preserve">Requerer a juntada de cópias de todas as mensagens enviadas/recebidas pelo reclamante no período de 1.º jan. 2025 a 30.º dez. 2025 (anexo B).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Perícia Informática</w:t>
      </w:r>
    </w:p>
    <w:p>
      <w:pPr>
        <w:pStyle w:val="Compact"/>
        <w:numPr>
          <w:ilvl w:val="1"/>
          <w:numId w:val="1003"/>
        </w:numPr>
      </w:pPr>
      <w:r>
        <w:t xml:space="preserve">Nomear perito informático para analisar o conteúdo das mensagens e atestar a inexistência de informação sensível ou de prejuízo ao empregador.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Argumentação Jurídica</w:t>
      </w:r>
    </w:p>
    <w:p>
      <w:pPr>
        <w:pStyle w:val="Compact"/>
        <w:numPr>
          <w:ilvl w:val="1"/>
          <w:numId w:val="1004"/>
        </w:numPr>
      </w:pPr>
      <w:r>
        <w:rPr>
          <w:b/>
          <w:bCs/>
        </w:rPr>
        <w:t xml:space="preserve">Tese 1:</w:t>
      </w:r>
      <w:r>
        <w:t xml:space="preserve"> </w:t>
      </w:r>
      <w:r>
        <w:t xml:space="preserve">Utilizar a jurisprudência citada e a análise de conteúdo (anexo A) para demonstrar a ausência de “grave violação”.</w:t>
      </w:r>
      <w:r>
        <w:br/>
      </w:r>
    </w:p>
    <w:p>
      <w:pPr>
        <w:pStyle w:val="Compact"/>
        <w:numPr>
          <w:ilvl w:val="1"/>
          <w:numId w:val="1004"/>
        </w:numPr>
      </w:pPr>
      <w:r>
        <w:rPr>
          <w:b/>
          <w:bCs/>
        </w:rPr>
        <w:t xml:space="preserve">Tese 2:</w:t>
      </w:r>
      <w:r>
        <w:t xml:space="preserve"> </w:t>
      </w:r>
      <w:r>
        <w:t xml:space="preserve">Invocar o princípio da proporcionalidade, apresentando o histórico laboral exemplar do Sr. Silva (12 anos, avaliações positivas, prémios de desempenho).</w:t>
      </w:r>
      <w:r>
        <w:br/>
      </w:r>
    </w:p>
    <w:p>
      <w:pPr>
        <w:pStyle w:val="Compact"/>
        <w:numPr>
          <w:ilvl w:val="1"/>
          <w:numId w:val="1004"/>
        </w:numPr>
      </w:pPr>
      <w:r>
        <w:rPr>
          <w:b/>
          <w:bCs/>
        </w:rPr>
        <w:t xml:space="preserve">Tese 3:</w:t>
      </w:r>
      <w:r>
        <w:t xml:space="preserve"> </w:t>
      </w:r>
      <w:r>
        <w:t xml:space="preserve">Evidenciar a falha formal da empresa, requerendo a nulidade da comunicação de despedimento e a reintegração ou, subsidiariamente, a indemnização por despedimento ilícito.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Pedidos Principais</w:t>
      </w:r>
    </w:p>
    <w:p>
      <w:pPr>
        <w:pStyle w:val="Compact"/>
        <w:numPr>
          <w:ilvl w:val="1"/>
          <w:numId w:val="1005"/>
        </w:numPr>
      </w:pPr>
      <w:r>
        <w:rPr>
          <w:b/>
          <w:bCs/>
        </w:rPr>
        <w:t xml:space="preserve">Reconhecimento da nulidade do despedimento</w:t>
      </w:r>
      <w:r>
        <w:t xml:space="preserve"> </w:t>
      </w:r>
      <w:r>
        <w:t xml:space="preserve">e</w:t>
      </w:r>
      <w:r>
        <w:t xml:space="preserve"> </w:t>
      </w:r>
      <w:r>
        <w:rPr>
          <w:b/>
          <w:bCs/>
        </w:rPr>
        <w:t xml:space="preserve">reintegração</w:t>
      </w:r>
      <w:r>
        <w:t xml:space="preserve"> </w:t>
      </w:r>
      <w:r>
        <w:t xml:space="preserve">do reclamante, com pagamento de salários em atraso, incluindo férias e subsídios.</w:t>
      </w:r>
      <w:r>
        <w:br/>
      </w:r>
    </w:p>
    <w:p>
      <w:pPr>
        <w:pStyle w:val="Compact"/>
        <w:numPr>
          <w:ilvl w:val="1"/>
          <w:numId w:val="1005"/>
        </w:numPr>
      </w:pPr>
      <w:r>
        <w:rPr>
          <w:b/>
          <w:bCs/>
        </w:rPr>
        <w:t xml:space="preserve">Subsidiariamente</w:t>
      </w:r>
      <w:r>
        <w:t xml:space="preserve">, condenação da empresa ao pagamento de</w:t>
      </w:r>
      <w:r>
        <w:t xml:space="preserve"> </w:t>
      </w:r>
      <w:r>
        <w:rPr>
          <w:b/>
          <w:bCs/>
        </w:rPr>
        <w:t xml:space="preserve">indemnização por despedimento ilícito</w:t>
      </w:r>
      <w:r>
        <w:t xml:space="preserve"> </w:t>
      </w:r>
      <w:r>
        <w:t xml:space="preserve">ao abrigo do art. 384.º do Código do Trabalho, calculada em 45 dias de remuneração base por cada ano de serviço (total € 54 600,00).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Procedimentos de Mediação</w:t>
      </w:r>
    </w:p>
    <w:p>
      <w:pPr>
        <w:pStyle w:val="Compact"/>
        <w:numPr>
          <w:ilvl w:val="1"/>
          <w:numId w:val="1006"/>
        </w:numPr>
      </w:pPr>
      <w:r>
        <w:t xml:space="preserve">Avaliar a possibilidade de acordo extrajudicial antes da audiência de julgamento, apresentando proposta de compensação limitada a 30 % do valor indemnizatório, a fim de evitar custos processuais excessivos.</w:t>
      </w:r>
    </w:p>
    <w:p>
      <w:r>
        <w:pict>
          <v:rect style="width:0;height:1.5pt" o:hralign="center" o:hrstd="t" o:hr="t"/>
        </w:pict>
      </w:r>
    </w:p>
    <w:bookmarkEnd w:id="11"/>
    <w:bookmarkStart w:id="12" w:name="cronograma-de-atos-processuais"/>
    <w:p>
      <w:pPr>
        <w:pStyle w:val="Heading3"/>
      </w:pPr>
      <w:r>
        <w:t xml:space="preserve">4. Cronograma de Atos Processuais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105"/>
        <w:gridCol w:w="2026"/>
        <w:gridCol w:w="2394"/>
        <w:gridCol w:w="2394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Data</w:t>
            </w:r>
          </w:p>
        </w:tc>
        <w:tc>
          <w:tcPr/>
          <w:p>
            <w:pPr>
              <w:pStyle w:val="Compact"/>
            </w:pPr>
            <w:r>
              <w:t xml:space="preserve">Atividade</w:t>
            </w:r>
          </w:p>
        </w:tc>
        <w:tc>
          <w:tcPr/>
          <w:p>
            <w:pPr>
              <w:pStyle w:val="Compact"/>
            </w:pPr>
            <w:r>
              <w:t xml:space="preserve">Responsável</w:t>
            </w:r>
          </w:p>
        </w:tc>
        <w:tc>
          <w:tcPr/>
          <w:p>
            <w:pPr>
              <w:pStyle w:val="Compact"/>
            </w:pPr>
            <w:r>
              <w:t xml:space="preserve">Observações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05/03/2026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Requerimento de produção de documentos</w:t>
            </w:r>
            <w:r>
              <w:t xml:space="preserve"> </w:t>
            </w:r>
            <w:r>
              <w:t xml:space="preserve">ao réu (logs de email)</w:t>
            </w:r>
          </w:p>
        </w:tc>
        <w:tc>
          <w:tcPr/>
          <w:p>
            <w:pPr>
              <w:pStyle w:val="Compact"/>
            </w:pPr>
            <w:r>
              <w:t xml:space="preserve">Dr. António Ribeiro</w:t>
            </w:r>
          </w:p>
        </w:tc>
        <w:tc>
          <w:tcPr/>
          <w:p>
            <w:pPr>
              <w:pStyle w:val="Compact"/>
            </w:pPr>
            <w:r>
              <w:t xml:space="preserve">Prazo legal de 15 dias úteis.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20/03/2026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Despacho de juntada de documentos</w:t>
            </w:r>
            <w:r>
              <w:t xml:space="preserve"> </w:t>
            </w:r>
            <w:r>
              <w:t xml:space="preserve">(anexos A e B)</w:t>
            </w:r>
          </w:p>
        </w:tc>
        <w:tc>
          <w:tcPr/>
          <w:p>
            <w:pPr>
              <w:pStyle w:val="Compact"/>
            </w:pPr>
            <w:r>
              <w:t xml:space="preserve">Dra. Sofia Carvalho</w:t>
            </w:r>
          </w:p>
        </w:tc>
        <w:tc>
          <w:tcPr/>
          <w:p>
            <w:pPr>
              <w:pStyle w:val="Compact"/>
            </w:pPr>
            <w:r>
              <w:t xml:space="preserve">Verificar conformidade com o art. 357.º CPC.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01/04/2026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Nomeação de perito informático</w:t>
            </w:r>
          </w:p>
        </w:tc>
        <w:tc>
          <w:tcPr/>
          <w:p>
            <w:pPr>
              <w:pStyle w:val="Compact"/>
            </w:pPr>
            <w:r>
              <w:t xml:space="preserve">Dr. António Ribeiro</w:t>
            </w:r>
          </w:p>
        </w:tc>
        <w:tc>
          <w:tcPr/>
          <w:p>
            <w:pPr>
              <w:pStyle w:val="Compact"/>
            </w:pPr>
            <w:r>
              <w:t xml:space="preserve">Pedido ao tribunal com indicação de perito (Dr. Luís Mendes – OA 11223).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15/04/2026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Entrega do laudo pericial</w:t>
            </w:r>
          </w:p>
        </w:tc>
        <w:tc>
          <w:tcPr/>
          <w:p>
            <w:pPr>
              <w:pStyle w:val="Compact"/>
            </w:pPr>
            <w:r>
              <w:t xml:space="preserve">Perito (Dr. Luís Mendes)</w:t>
            </w:r>
          </w:p>
        </w:tc>
        <w:tc>
          <w:tcPr/>
          <w:p>
            <w:pPr>
              <w:pStyle w:val="Compact"/>
            </w:pPr>
            <w:r>
              <w:t xml:space="preserve">Prazo de 30 dias a contar da nomeação.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30/04/2026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Audiência de conciliação</w:t>
            </w:r>
          </w:p>
        </w:tc>
        <w:tc>
          <w:tcPr/>
          <w:p>
            <w:pPr>
              <w:pStyle w:val="Compact"/>
            </w:pPr>
            <w:r>
              <w:t xml:space="preserve">Dra. Sofia Carvalho</w:t>
            </w:r>
          </w:p>
        </w:tc>
        <w:tc>
          <w:tcPr/>
          <w:p>
            <w:pPr>
              <w:pStyle w:val="Compact"/>
            </w:pPr>
            <w:r>
              <w:t xml:space="preserve">Preparar proposta de acordo.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15/05/2026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Contestação da empresa</w:t>
            </w:r>
            <w:r>
              <w:t xml:space="preserve"> </w:t>
            </w:r>
            <w:r>
              <w:t xml:space="preserve">(se houver)</w:t>
            </w:r>
          </w:p>
        </w:tc>
        <w:tc>
          <w:tcPr/>
          <w:p>
            <w:pPr>
              <w:pStyle w:val="Compact"/>
            </w:pPr>
            <w:r>
              <w:t xml:space="preserve">Dr. António Ribeiro</w:t>
            </w:r>
          </w:p>
        </w:tc>
        <w:tc>
          <w:tcPr/>
          <w:p>
            <w:pPr>
              <w:pStyle w:val="Compact"/>
            </w:pPr>
            <w:r>
              <w:t xml:space="preserve">Analisar argumentos da defesa.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01/06/2026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Depoimento do reclamante</w:t>
            </w:r>
          </w:p>
        </w:tc>
        <w:tc>
          <w:tcPr/>
          <w:p>
            <w:pPr>
              <w:pStyle w:val="Compact"/>
            </w:pPr>
            <w:r>
              <w:t xml:space="preserve">Dra. Sofia Carvalho</w:t>
            </w:r>
          </w:p>
        </w:tc>
        <w:tc>
          <w:tcPr/>
          <w:p>
            <w:pPr>
              <w:pStyle w:val="Compact"/>
            </w:pPr>
            <w:r>
              <w:t xml:space="preserve">Preparar roteiro de perguntas.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20/06/2026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Audiência de julgamento</w:t>
            </w:r>
          </w:p>
        </w:tc>
        <w:tc>
          <w:tcPr/>
          <w:p>
            <w:pPr>
              <w:pStyle w:val="Compact"/>
            </w:pPr>
            <w:r>
              <w:t xml:space="preserve">Ambos os mandatários</w:t>
            </w:r>
          </w:p>
        </w:tc>
        <w:tc>
          <w:tcPr/>
          <w:p>
            <w:pPr>
              <w:pStyle w:val="Compact"/>
            </w:pPr>
            <w:r>
              <w:t xml:space="preserve">Apresentação de memoriais finais.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10/07/2026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Sentença</w:t>
            </w:r>
            <w:r>
              <w:t xml:space="preserve"> </w:t>
            </w:r>
            <w:r>
              <w:t xml:space="preserve">(previsão)</w:t>
            </w:r>
          </w:p>
        </w:tc>
        <w:tc>
          <w:tcPr/>
          <w:p>
            <w:pPr>
              <w:pStyle w:val="Compact"/>
            </w:pPr>
            <w:r>
              <w:t xml:space="preserve">Juíza Dr.ª Maria de Lurdes Santos</w:t>
            </w:r>
          </w:p>
        </w:tc>
        <w:tc>
          <w:tcPr/>
          <w:p>
            <w:pPr>
              <w:pStyle w:val="Compact"/>
            </w:pPr>
            <w:r>
              <w:t xml:space="preserve">Preparar recurso, caso necessário, até 30 dias.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15/07/2026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Recurso de Apelação</w:t>
            </w:r>
            <w:r>
              <w:t xml:space="preserve"> </w:t>
            </w:r>
            <w:r>
              <w:t xml:space="preserve">(se necessário)</w:t>
            </w:r>
          </w:p>
        </w:tc>
        <w:tc>
          <w:tcPr/>
          <w:p>
            <w:pPr>
              <w:pStyle w:val="Compact"/>
            </w:pPr>
            <w:r>
              <w:t xml:space="preserve">Dr. António Ribeiro</w:t>
            </w:r>
          </w:p>
        </w:tc>
        <w:tc>
          <w:tcPr/>
          <w:p>
            <w:pPr>
              <w:pStyle w:val="Compact"/>
            </w:pPr>
            <w:r>
              <w:t xml:space="preserve">Fundamentação nos erros de facto e de direito.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12"/>
    <w:bookmarkStart w:id="13" w:name="distribuição-de-tarefas"/>
    <w:p>
      <w:pPr>
        <w:pStyle w:val="Heading3"/>
      </w:pPr>
      <w:r>
        <w:t xml:space="preserve">5. Distribuição de Tarefas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545"/>
        <w:gridCol w:w="2511"/>
        <w:gridCol w:w="1352"/>
        <w:gridCol w:w="2511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Tarefa</w:t>
            </w:r>
          </w:p>
        </w:tc>
        <w:tc>
          <w:tcPr/>
          <w:p>
            <w:pPr>
              <w:pStyle w:val="Compact"/>
            </w:pPr>
            <w:r>
              <w:t xml:space="preserve">Responsável</w:t>
            </w:r>
          </w:p>
        </w:tc>
        <w:tc>
          <w:tcPr/>
          <w:p>
            <w:pPr>
              <w:pStyle w:val="Compact"/>
            </w:pPr>
            <w:r>
              <w:t xml:space="preserve">Prazo</w:t>
            </w:r>
          </w:p>
        </w:tc>
        <w:tc>
          <w:tcPr/>
          <w:p>
            <w:pPr>
              <w:pStyle w:val="Compact"/>
            </w:pPr>
            <w:r>
              <w:t xml:space="preserve">Comentários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Elaboração do requerimento de produção de documentos</w:t>
            </w:r>
          </w:p>
        </w:tc>
        <w:tc>
          <w:tcPr/>
          <w:p>
            <w:pPr>
              <w:pStyle w:val="Compact"/>
            </w:pPr>
            <w:r>
              <w:t xml:space="preserve">Dr. António Ribeiro</w:t>
            </w:r>
          </w:p>
        </w:tc>
        <w:tc>
          <w:tcPr/>
          <w:p>
            <w:pPr>
              <w:pStyle w:val="Compact"/>
            </w:pPr>
            <w:r>
              <w:t xml:space="preserve">05/03/2026</w:t>
            </w:r>
          </w:p>
        </w:tc>
        <w:tc>
          <w:tcPr/>
          <w:p>
            <w:pPr>
              <w:pStyle w:val="Compact"/>
            </w:pPr>
            <w:r>
              <w:t xml:space="preserve">Utilizar modelo padrão de requerimento ao réu.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Revisão e indexação das mensagens de email</w:t>
            </w:r>
          </w:p>
        </w:tc>
        <w:tc>
          <w:tcPr/>
          <w:p>
            <w:pPr>
              <w:pStyle w:val="Compact"/>
            </w:pPr>
            <w:r>
              <w:t xml:space="preserve">Assistente Jurídico (Ana Costa)</w:t>
            </w:r>
          </w:p>
        </w:tc>
        <w:tc>
          <w:tcPr/>
          <w:p>
            <w:pPr>
              <w:pStyle w:val="Compact"/>
            </w:pPr>
            <w:r>
              <w:t xml:space="preserve">12/03/2026</w:t>
            </w:r>
          </w:p>
        </w:tc>
        <w:tc>
          <w:tcPr/>
          <w:p>
            <w:pPr>
              <w:pStyle w:val="Compact"/>
            </w:pPr>
            <w:r>
              <w:t xml:space="preserve">Classificar por data e assunto.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Redação da petição inicial (memorial de contestação)</w:t>
            </w:r>
          </w:p>
        </w:tc>
        <w:tc>
          <w:tcPr/>
          <w:p>
            <w:pPr>
              <w:pStyle w:val="Compact"/>
            </w:pPr>
            <w:r>
              <w:t xml:space="preserve">Dra. Sofia Carvalho</w:t>
            </w:r>
          </w:p>
        </w:tc>
        <w:tc>
          <w:tcPr/>
          <w:p>
            <w:pPr>
              <w:pStyle w:val="Compact"/>
            </w:pPr>
            <w:r>
              <w:t xml:space="preserve">25/03/2026</w:t>
            </w:r>
          </w:p>
        </w:tc>
        <w:tc>
          <w:tcPr/>
          <w:p>
            <w:pPr>
              <w:pStyle w:val="Compact"/>
            </w:pPr>
            <w:r>
              <w:t xml:space="preserve">Incluir jurisprudência atualizada.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Coordenação com perito informático</w:t>
            </w:r>
          </w:p>
        </w:tc>
        <w:tc>
          <w:tcPr/>
          <w:p>
            <w:pPr>
              <w:pStyle w:val="Compact"/>
            </w:pPr>
            <w:r>
              <w:t xml:space="preserve">Dr. António Ribeiro</w:t>
            </w:r>
          </w:p>
        </w:tc>
        <w:tc>
          <w:tcPr/>
          <w:p>
            <w:pPr>
              <w:pStyle w:val="Compact"/>
            </w:pPr>
            <w:r>
              <w:t xml:space="preserve">01/04/2026</w:t>
            </w:r>
          </w:p>
        </w:tc>
        <w:tc>
          <w:tcPr/>
          <w:p>
            <w:pPr>
              <w:pStyle w:val="Compact"/>
            </w:pPr>
            <w:r>
              <w:t xml:space="preserve">Enviar lista de mensagens a analisar.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Preparação da proposta de acordo</w:t>
            </w:r>
          </w:p>
        </w:tc>
        <w:tc>
          <w:tcPr/>
          <w:p>
            <w:pPr>
              <w:pStyle w:val="Compact"/>
            </w:pPr>
            <w:r>
              <w:t xml:space="preserve">Dra. Sofia Carvalho</w:t>
            </w:r>
          </w:p>
        </w:tc>
        <w:tc>
          <w:tcPr/>
          <w:p>
            <w:pPr>
              <w:pStyle w:val="Compact"/>
            </w:pPr>
            <w:r>
              <w:t xml:space="preserve">27/04/2026</w:t>
            </w:r>
          </w:p>
        </w:tc>
        <w:tc>
          <w:tcPr/>
          <w:p>
            <w:pPr>
              <w:pStyle w:val="Compact"/>
            </w:pPr>
            <w:r>
              <w:t xml:space="preserve">Basear‑se na avaliação de risco de condenação.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Organização da audiência de conciliação</w:t>
            </w:r>
          </w:p>
        </w:tc>
        <w:tc>
          <w:tcPr/>
          <w:p>
            <w:pPr>
              <w:pStyle w:val="Compact"/>
            </w:pPr>
            <w:r>
              <w:t xml:space="preserve">Secretária do Tribunal (M. Silva)</w:t>
            </w:r>
          </w:p>
        </w:tc>
        <w:tc>
          <w:tcPr/>
          <w:p>
            <w:pPr>
              <w:pStyle w:val="Compact"/>
            </w:pPr>
            <w:r>
              <w:t xml:space="preserve">30/04/2026</w:t>
            </w:r>
          </w:p>
        </w:tc>
        <w:tc>
          <w:tcPr/>
          <w:p>
            <w:pPr>
              <w:pStyle w:val="Compact"/>
            </w:pPr>
            <w:r>
              <w:t xml:space="preserve">Confirmar horário e sala.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Redação de memoriais finais</w:t>
            </w:r>
          </w:p>
        </w:tc>
        <w:tc>
          <w:tcPr/>
          <w:p>
            <w:pPr>
              <w:pStyle w:val="Compact"/>
            </w:pPr>
            <w:r>
              <w:t xml:space="preserve">Ambos os mandatários</w:t>
            </w:r>
          </w:p>
        </w:tc>
        <w:tc>
          <w:tcPr/>
          <w:p>
            <w:pPr>
              <w:pStyle w:val="Compact"/>
            </w:pPr>
            <w:r>
              <w:t xml:space="preserve">15/06/2026</w:t>
            </w:r>
          </w:p>
        </w:tc>
        <w:tc>
          <w:tcPr/>
          <w:p>
            <w:pPr>
              <w:pStyle w:val="Compact"/>
            </w:pPr>
            <w:r>
              <w:t xml:space="preserve">Dividir por teses (1, 2, 3).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Monitorização de prazos</w:t>
            </w:r>
          </w:p>
        </w:tc>
        <w:tc>
          <w:tcPr/>
          <w:p>
            <w:pPr>
              <w:pStyle w:val="Compact"/>
            </w:pPr>
            <w:r>
              <w:t xml:space="preserve">Coordenador de equipa (J. Pereira)</w:t>
            </w:r>
          </w:p>
        </w:tc>
        <w:tc>
          <w:tcPr/>
          <w:p>
            <w:pPr>
              <w:pStyle w:val="Compact"/>
            </w:pPr>
            <w:r>
              <w:t xml:space="preserve">Contínuo</w:t>
            </w:r>
          </w:p>
        </w:tc>
        <w:tc>
          <w:tcPr/>
          <w:p>
            <w:pPr>
              <w:pStyle w:val="Compact"/>
            </w:pPr>
            <w:r>
              <w:t xml:space="preserve">Atualizar planilha de controlo (anexo C).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13"/>
    <w:bookmarkStart w:id="14" w:name="riscos-identificados-e-mitigações"/>
    <w:p>
      <w:pPr>
        <w:pStyle w:val="Heading3"/>
      </w:pPr>
      <w:r>
        <w:t xml:space="preserve">6. Riscos Identificados e Mitigações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955"/>
        <w:gridCol w:w="2184"/>
        <w:gridCol w:w="1228"/>
        <w:gridCol w:w="355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Risco</w:t>
            </w:r>
          </w:p>
        </w:tc>
        <w:tc>
          <w:tcPr/>
          <w:p>
            <w:pPr>
              <w:pStyle w:val="Compact"/>
            </w:pPr>
            <w:r>
              <w:t xml:space="preserve">Probabilidade</w:t>
            </w:r>
          </w:p>
        </w:tc>
        <w:tc>
          <w:tcPr/>
          <w:p>
            <w:pPr>
              <w:pStyle w:val="Compact"/>
            </w:pPr>
            <w:r>
              <w:t xml:space="preserve">Impacto</w:t>
            </w:r>
          </w:p>
        </w:tc>
        <w:tc>
          <w:tcPr/>
          <w:p>
            <w:pPr>
              <w:pStyle w:val="Compact"/>
            </w:pPr>
            <w:r>
              <w:t xml:space="preserve">Estratégia de Mitigação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Negativa da empresa à entrega dos logs de email</w:t>
            </w:r>
          </w:p>
        </w:tc>
        <w:tc>
          <w:tcPr/>
          <w:p>
            <w:pPr>
              <w:pStyle w:val="Compact"/>
            </w:pPr>
            <w:r>
              <w:t xml:space="preserve">Média</w:t>
            </w:r>
          </w:p>
        </w:tc>
        <w:tc>
          <w:tcPr/>
          <w:p>
            <w:pPr>
              <w:pStyle w:val="Compact"/>
            </w:pPr>
            <w:r>
              <w:t xml:space="preserve">Alto</w:t>
            </w:r>
          </w:p>
        </w:tc>
        <w:tc>
          <w:tcPr/>
          <w:p>
            <w:pPr>
              <w:pStyle w:val="Compact"/>
            </w:pPr>
            <w:r>
              <w:t xml:space="preserve">Invocar o art. 351.º, n.º 2 do CPC e requerer medida cautelar de produção de prova.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Laudo pericial desfavorável</w:t>
            </w:r>
          </w:p>
        </w:tc>
        <w:tc>
          <w:tcPr/>
          <w:p>
            <w:pPr>
              <w:pStyle w:val="Compact"/>
            </w:pPr>
            <w:r>
              <w:t xml:space="preserve">Baixa</w:t>
            </w:r>
          </w:p>
        </w:tc>
        <w:tc>
          <w:tcPr/>
          <w:p>
            <w:pPr>
              <w:pStyle w:val="Compact"/>
            </w:pPr>
            <w:r>
              <w:t xml:space="preserve">Médio</w:t>
            </w:r>
          </w:p>
        </w:tc>
        <w:tc>
          <w:tcPr/>
          <w:p>
            <w:pPr>
              <w:pStyle w:val="Compact"/>
            </w:pPr>
            <w:r>
              <w:t xml:space="preserve">Solicitar parecer complementar e, se necessário, contestar a metodologia do perito.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Recusa da empresa em participar na conciliação</w:t>
            </w:r>
          </w:p>
        </w:tc>
        <w:tc>
          <w:tcPr/>
          <w:p>
            <w:pPr>
              <w:pStyle w:val="Compact"/>
            </w:pPr>
            <w:r>
              <w:t xml:space="preserve">Média</w:t>
            </w:r>
          </w:p>
        </w:tc>
        <w:tc>
          <w:tcPr/>
          <w:p>
            <w:pPr>
              <w:pStyle w:val="Compact"/>
            </w:pPr>
            <w:r>
              <w:t xml:space="preserve">Médio</w:t>
            </w:r>
          </w:p>
        </w:tc>
        <w:tc>
          <w:tcPr/>
          <w:p>
            <w:pPr>
              <w:pStyle w:val="Compact"/>
            </w:pPr>
            <w:r>
              <w:t xml:space="preserve">Preparar proposta de acordo robusta e demonstrar ao tribunal a boa‑fé do reclamante.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Atraso na entrega de documentos pelo tribunal</w:t>
            </w:r>
          </w:p>
        </w:tc>
        <w:tc>
          <w:tcPr/>
          <w:p>
            <w:pPr>
              <w:pStyle w:val="Compact"/>
            </w:pPr>
            <w:r>
              <w:t xml:space="preserve">Baixa</w:t>
            </w:r>
          </w:p>
        </w:tc>
        <w:tc>
          <w:tcPr/>
          <w:p>
            <w:pPr>
              <w:pStyle w:val="Compact"/>
            </w:pPr>
            <w:r>
              <w:t xml:space="preserve">Baixo</w:t>
            </w:r>
          </w:p>
        </w:tc>
        <w:tc>
          <w:tcPr/>
          <w:p>
            <w:pPr>
              <w:pStyle w:val="Compact"/>
            </w:pPr>
            <w:r>
              <w:t xml:space="preserve">Manter contacto diário com a secretaria da vara e solicitar notificação de eventual atraso.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14"/>
    <w:bookmarkStart w:id="15" w:name="conclusão"/>
    <w:p>
      <w:pPr>
        <w:pStyle w:val="Heading3"/>
      </w:pPr>
      <w:r>
        <w:t xml:space="preserve">7. Conclusão</w:t>
      </w:r>
    </w:p>
    <w:p>
      <w:pPr>
        <w:pStyle w:val="FirstParagraph"/>
      </w:pPr>
      <w:r>
        <w:t xml:space="preserve">A estratégia delineada visa</w:t>
      </w:r>
      <w:r>
        <w:t xml:space="preserve"> </w:t>
      </w:r>
      <w:r>
        <w:rPr>
          <w:b/>
          <w:bCs/>
        </w:rPr>
        <w:t xml:space="preserve">refutar a alegação de justa causa</w:t>
      </w:r>
      <w:r>
        <w:t xml:space="preserve">, demonstrar a</w:t>
      </w:r>
      <w:r>
        <w:t xml:space="preserve"> </w:t>
      </w:r>
      <w:r>
        <w:rPr>
          <w:b/>
          <w:bCs/>
        </w:rPr>
        <w:t xml:space="preserve">desproporcionalidade da sanção</w:t>
      </w:r>
      <w:r>
        <w:t xml:space="preserve"> </w:t>
      </w:r>
      <w:r>
        <w:t xml:space="preserve">e apontar a</w:t>
      </w:r>
      <w:r>
        <w:t xml:space="preserve"> </w:t>
      </w:r>
      <w:r>
        <w:rPr>
          <w:b/>
          <w:bCs/>
        </w:rPr>
        <w:t xml:space="preserve">irregularidade formal</w:t>
      </w:r>
      <w:r>
        <w:t xml:space="preserve"> </w:t>
      </w:r>
      <w:r>
        <w:t xml:space="preserve">da comunicação de despedimento. O cumprimento rigoroso do cronograma e a clara distribuição de tarefas garantirão a</w:t>
      </w:r>
      <w:r>
        <w:t xml:space="preserve"> </w:t>
      </w:r>
      <w:r>
        <w:rPr>
          <w:b/>
          <w:bCs/>
        </w:rPr>
        <w:t xml:space="preserve">eficácia processual</w:t>
      </w:r>
      <w:r>
        <w:t xml:space="preserve"> </w:t>
      </w:r>
      <w:r>
        <w:t xml:space="preserve">e a</w:t>
      </w:r>
      <w:r>
        <w:t xml:space="preserve"> </w:t>
      </w:r>
      <w:r>
        <w:rPr>
          <w:b/>
          <w:bCs/>
        </w:rPr>
        <w:t xml:space="preserve">maximização das hipóteses de sucesso</w:t>
      </w:r>
      <w:r>
        <w:t xml:space="preserve">, seja através de sentença favorável ou de acordo extrajudicial vantajoso para o Sr. José Manuel da Silva.</w:t>
      </w:r>
    </w:p>
    <w:p>
      <w:pPr>
        <w:pStyle w:val="BlockText"/>
      </w:pPr>
      <w:r>
        <w:rPr>
          <w:b/>
          <w:bCs/>
        </w:rPr>
        <w:t xml:space="preserve">“A justiça laboral exige não só a observância da letra da lei, mas sobretudo a aplicação dos princípios da proporcionalidade e da boa‑fé nas relações de trabalho.”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i/>
          <w:iCs/>
        </w:rPr>
        <w:t xml:space="preserve">Anexos:</w:t>
      </w:r>
      <w:r>
        <w:br/>
      </w:r>
      <w:r>
        <w:t xml:space="preserve">-</w:t>
      </w:r>
      <w:r>
        <w:t xml:space="preserve"> </w:t>
      </w:r>
      <w:r>
        <w:rPr>
          <w:b/>
          <w:bCs/>
        </w:rPr>
        <w:t xml:space="preserve">Anexo A</w:t>
      </w:r>
      <w:r>
        <w:t xml:space="preserve"> </w:t>
      </w:r>
      <w:r>
        <w:t xml:space="preserve">– Extractos das mensagens de email (seleção).</w:t>
      </w:r>
      <w:r>
        <w:br/>
      </w:r>
      <w:r>
        <w:t xml:space="preserve">-</w:t>
      </w:r>
      <w:r>
        <w:t xml:space="preserve"> </w:t>
      </w:r>
      <w:r>
        <w:rPr>
          <w:b/>
          <w:bCs/>
        </w:rPr>
        <w:t xml:space="preserve">Anexo B</w:t>
      </w:r>
      <w:r>
        <w:t xml:space="preserve"> </w:t>
      </w:r>
      <w:r>
        <w:t xml:space="preserve">– Listagem completa das mensagens solicitadas ao réu.</w:t>
      </w:r>
      <w:r>
        <w:br/>
      </w:r>
      <w:r>
        <w:t xml:space="preserve">-</w:t>
      </w:r>
      <w:r>
        <w:t xml:space="preserve"> </w:t>
      </w:r>
      <w:r>
        <w:rPr>
          <w:b/>
          <w:bCs/>
        </w:rPr>
        <w:t xml:space="preserve">Anexo C</w:t>
      </w:r>
      <w:r>
        <w:t xml:space="preserve"> </w:t>
      </w:r>
      <w:r>
        <w:t xml:space="preserve">– Planilha de controlo de prazos (formato Excel).</w:t>
      </w:r>
    </w:p>
    <w:bookmarkEnd w:id="15"/>
    <w:bookmarkEnd w:id="16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2026-02-22T18:50:38Z</dcterms:created>
  <dcterms:modified xsi:type="dcterms:W3CDTF">2026-02-22T18:50:38Z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